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hint="eastAsia" w:ascii="黑体" w:hAnsi="Times New Roman" w:eastAsia="黑体" w:cs="Times New Roman"/>
          <w:color w:val="000000"/>
          <w:kern w:val="2"/>
          <w:sz w:val="32"/>
          <w:szCs w:val="32"/>
        </w:rPr>
      </w:pPr>
      <w:r>
        <w:rPr>
          <w:rFonts w:hint="eastAsia" w:ascii="黑体" w:hAnsi="Times New Roman" w:eastAsia="黑体" w:cs="Times New Roman"/>
          <w:color w:val="000000"/>
          <w:kern w:val="2"/>
          <w:sz w:val="36"/>
          <w:szCs w:val="36"/>
        </w:rPr>
        <w:t>杭州市2022年第一季度重大劳动保障违法行为典型案例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0"/>
          <w:szCs w:val="30"/>
        </w:rPr>
        <w:t>一、浙江智通科技工程有限公司拖欠劳动报酬案</w: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浙江智通科技工程有限公司，统一社会信用代码：9133010014305177X6，地址：浙江省杭州市西湖区古墩路701号紫金广场A座10层，法定代表人：程江伟。</w: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从2021年12月25日开始，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萧山区人力社保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局陆续接到王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某某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、哈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某某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等人投诉萧山开发区萧政储出【2019】31号地块项目浙江智通科技工程有限公司存在拖欠农民工工资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经审批依法立案查处。</w: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2022年1月19日，浙江智通科技工程有限公司提供工资表，确认拖欠王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某某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、哈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某某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等60人，总计1180000元工资。2022年1月21日，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萧山区人力社保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局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执法人员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向浙江智通科技工程有限公司EMS邮寄和短信送达了《劳动保障监察限期改正指令书》（萧人社监令字[2022]027号），责令浙江智通科技工程有限公司于2022年1月26日之前依法足额支付王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某某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、哈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某某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等60人，总计1180000元工资，但该单位逾期未执行。</w: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2022年1月29日，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萧山区人力社保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局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已将该案移送公安机关查处（萧人社案移字[2022]06号）。</w: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</w:pP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0"/>
          <w:szCs w:val="30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义乌市悦美装饰工程有限公司拖欠劳动报酬案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义乌市悦美装饰工程有限公司，统一社会信用代码：91330782MA2HWX7W71，地址：浙江省义乌市北苑街道宗泽北路208号一楼(自主申报)，法定代表人：张敏玉。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2021年7月15日，淳安县人力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社保</w:t>
      </w:r>
      <w:r>
        <w:rPr>
          <w:rFonts w:hint="eastAsia" w:ascii="仿宋_GB2312" w:hAnsi="仿宋_GB2312" w:eastAsia="仿宋_GB2312" w:cs="仿宋_GB2312"/>
          <w:sz w:val="30"/>
          <w:szCs w:val="30"/>
        </w:rPr>
        <w:t>局接到农民工投诉，反映义乌市悦美装饰工程有限公司拖欠劳动报酬。经调查，义乌市悦美装饰工程有限公司拖欠明豪国际酒店电气、给排水安装工程耿某等14名农民工劳动报酬243240元，该单位法定代表人张敏玉及项目实际负责人张水清失联。2021年11月15日，淳安县人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社保</w:t>
      </w:r>
      <w:r>
        <w:rPr>
          <w:rFonts w:hint="eastAsia" w:ascii="仿宋_GB2312" w:hAnsi="仿宋_GB2312" w:eastAsia="仿宋_GB2312" w:cs="仿宋_GB2312"/>
          <w:sz w:val="30"/>
          <w:szCs w:val="30"/>
        </w:rPr>
        <w:t>局依法下达了《劳动保障监察行政处理决定书》，该单位逾期未履行。</w:t>
      </w:r>
    </w:p>
    <w:p>
      <w:pPr>
        <w:spacing w:line="580" w:lineRule="exact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2021年12月16日，淳安县人力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社保</w:t>
      </w:r>
      <w:r>
        <w:rPr>
          <w:rFonts w:hint="eastAsia" w:ascii="仿宋_GB2312" w:hAnsi="仿宋_GB2312" w:eastAsia="仿宋_GB2312" w:cs="仿宋_GB2312"/>
          <w:sz w:val="30"/>
          <w:szCs w:val="30"/>
        </w:rPr>
        <w:t>局以涉嫌拒不支付劳动报酬罪依法将该案移送公安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机关</w:t>
      </w:r>
      <w:r>
        <w:rPr>
          <w:rFonts w:hint="eastAsia" w:ascii="仿宋_GB2312" w:hAnsi="仿宋_GB2312" w:eastAsia="仿宋_GB2312" w:cs="仿宋_GB2312"/>
          <w:sz w:val="30"/>
          <w:szCs w:val="30"/>
        </w:rPr>
        <w:t>。2021年12月21日，淳安县公安局对该案予以立案侦查。目前，该单位负责人已被公安机关抓获，正在筹措资金用于支付农民工劳动报酬。如后续该单位仍未支付到位，淳安县人力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社保</w:t>
      </w:r>
      <w:r>
        <w:rPr>
          <w:rFonts w:hint="eastAsia" w:ascii="仿宋_GB2312" w:hAnsi="仿宋_GB2312" w:eastAsia="仿宋_GB2312" w:cs="仿宋_GB2312"/>
          <w:sz w:val="30"/>
          <w:szCs w:val="30"/>
        </w:rPr>
        <w:t>局将依法申请法院强制执行。</w:t>
      </w:r>
    </w:p>
    <w:p>
      <w:pPr>
        <w:pStyle w:val="5"/>
        <w:shd w:val="clear" w:color="auto" w:fill="FFFFFF"/>
        <w:spacing w:before="0" w:beforeAutospacing="0" w:after="0" w:afterAutospacing="0"/>
        <w:jc w:val="left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0"/>
          <w:szCs w:val="30"/>
          <w:lang w:eastAsia="zh-CN"/>
        </w:rPr>
        <w:t>深圳市恒富建设工程有限公司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0"/>
          <w:szCs w:val="30"/>
        </w:rPr>
        <w:t>拖欠劳动报酬案</w:t>
      </w:r>
    </w:p>
    <w:p>
      <w:pPr>
        <w:pStyle w:val="5"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0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深圳市恒富建设工程有限公司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统一社会信用代码：91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440300764988127F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，地址：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深圳市南山区粤海街道海珠社区海德三道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15号海岸大厦东座2302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，法定代表人：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章海挺。</w: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2021年11月12日，杭州市上城区人力社保局接到劳动者投诉，反映该单位拖欠劳动者劳动报酬。经查，该单位因经营不善，拖欠侯某2020年5至12月期间的劳动报酬共计38800元，葛某某2020年5至12月期间的劳动报酬共计38800元。2022年1月6日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杭州市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上城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区人力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社保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依法下达了《劳动保障监察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行政处理告知书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日，杭州市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上城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区人力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社保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依法下达了《劳动保障监察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行政处理决定书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》，该单位逾期未履行。</w:t>
      </w:r>
    </w:p>
    <w:p>
      <w:pPr>
        <w:spacing w:line="580" w:lineRule="exact"/>
        <w:ind w:firstLine="600" w:firstLineChars="200"/>
        <w:jc w:val="left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后续深圳市恒富建设工程有限公司如仍未支付工资，上城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区人力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社保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局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将依法申请人民法院强制执行。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0"/>
          <w:szCs w:val="30"/>
          <w:lang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0"/>
          <w:szCs w:val="30"/>
        </w:rPr>
        <w:t>杭州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0"/>
          <w:szCs w:val="30"/>
          <w:lang w:eastAsia="zh-CN"/>
        </w:rPr>
        <w:t>言几又企业管理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2"/>
          <w:sz w:val="30"/>
          <w:szCs w:val="30"/>
        </w:rPr>
        <w:t>有限公司拖欠劳动报酬案</w: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jc w:val="both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杭州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言几又企业管理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有限公司，统一社会信用代码：913301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04MA28U70W2X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，地址：杭州市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上城区新业路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228号杭州来福士中心04层10号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，法定代表人：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邓凌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年1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日，杭州市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上城区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人力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社保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局接到劳动者投诉，反映该单位拖欠劳动者劳动报酬。经查，该单位因经营不善已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停止经营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，拖欠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蔡某某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名劳动者劳动报酬共计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223784.37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元。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2月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日，杭州市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上城区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人力</w:t>
      </w:r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  <w:t>社保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</w:rPr>
        <w:t>局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依法下达了《劳动保障监察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行政处理决定书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（上人社监处字[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]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011号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，该单位逾期未履行。</w:t>
      </w:r>
    </w:p>
    <w:p>
      <w:pPr>
        <w:pStyle w:val="5"/>
        <w:shd w:val="clear" w:color="auto" w:fill="FFFFFF"/>
        <w:spacing w:before="0" w:beforeAutospacing="0" w:after="0" w:afterAutospacing="0"/>
        <w:ind w:firstLine="645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后续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如单位仍未履行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处理决定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，则将该案件移交法院，申请强制执行。</w:t>
      </w: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color w:val="000000"/>
          <w:kern w:val="2"/>
          <w:sz w:val="30"/>
          <w:szCs w:val="30"/>
          <w:lang w:eastAsia="zh-CN"/>
        </w:rPr>
      </w:pPr>
    </w:p>
    <w:p>
      <w:pPr>
        <w:spacing w:line="580" w:lineRule="exact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hint="eastAsia" w:ascii="仿宋_GB2312" w:eastAsia="仿宋_GB2312" w:cs="Times New Roman"/>
          <w:color w:val="000000"/>
          <w:kern w:val="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797" w:bottom="1021" w:left="1797" w:header="709" w:footer="709" w:gutter="0"/>
      <w:pgNumType w:fmt="numberInDash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08000" cy="389890"/>
              <wp:effectExtent l="0" t="0" r="0" b="0"/>
              <wp:wrapNone/>
              <wp:docPr id="1" name="文本框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99" cy="390143"/>
                      </a:xfrm>
                      <a:prstGeom prst="rect">
                        <a:avLst/>
                      </a:prstGeom>
                      <a:noFill/>
                      <a:ln w="9525" cap="flat" cmpd="sng">
                        <a:noFill/>
                        <a:prstDash val="solid"/>
                        <a:miter/>
                      </a:ln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cs="仿宋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" o:spid="_x0000_s1026" o:spt="1" style="position:absolute;left:0pt;margin-top:0pt;height:30.7pt;width:40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BP6eK40QAAAAMBAAAPAAAAAAAAAAEAIAAAADgAAABkcnMvZG93bnJldi54&#10;bWxQSwECFAAUAAAACACHTuJASNdMsusBAACrAwAADgAAAAAAAAABACAAAAA2AQAAZHJzL2Uyb0Rv&#10;Yy54bWxQSwUGAAAAAAYABgBZAQAAkw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 w:asci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eastAsia="仿宋" w:cs="仿宋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720"/>
  <w:drawingGridHorizontalSpacing w:val="110"/>
  <w:drawingGridVerticalSpacing w:val="156"/>
  <w:displayHorizontalDrawingGridEvery w:val="1"/>
  <w:displayVerticalDrawingGridEvery w:val="1"/>
  <w:noPunctuationKerning w:val="true"/>
  <w:compat>
    <w:spaceForUL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175427BD"/>
    <w:rsid w:val="2E7F4BE3"/>
    <w:rsid w:val="5F7B54A2"/>
    <w:rsid w:val="744F601E"/>
    <w:rsid w:val="7BBDADFF"/>
    <w:rsid w:val="7BEBCCCD"/>
    <w:rsid w:val="CD678ED4"/>
    <w:rsid w:val="F96FAB8C"/>
    <w:rsid w:val="FDD3EE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eastAsia="宋体" w:cs="宋体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0"/>
    <w:pPr>
      <w:ind w:firstLine="200" w:firstLineChars="200"/>
    </w:pPr>
  </w:style>
  <w:style w:type="paragraph" w:customStyle="1" w:styleId="10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SkyUN.Org</Company>
  <Pages>2</Pages>
  <Words>341</Words>
  <Characters>406</Characters>
  <Lines>23</Lines>
  <Paragraphs>6</Paragraphs>
  <TotalTime>4</TotalTime>
  <ScaleCrop>false</ScaleCrop>
  <LinksUpToDate>false</LinksUpToDate>
  <CharactersWithSpaces>406</CharactersWithSpaces>
  <Application>WPS Office_11.8.2.9831_F1E327BC-269C-435d-A152-05C5408002CA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2017-12-15T03:51:00Z</dcterms:created>
  <dc:creator>SkyUN.Org</dc:creator>
  <cp:lastModifiedBy>user</cp:lastModifiedBy>
  <cp:lastPrinted>2018-12-12T07:20:00Z</cp:lastPrinted>
  <dcterms:modified xsi:type="dcterms:W3CDTF">2022-04-02T09:44:00Z</dcterms:modified>
  <cp:revision>145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775E7BE6FE274C2AA736E71704341322</vt:lpwstr>
  </property>
</Properties>
</file>